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A172B" w14:paraId="7C7E6AD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BB8C31" w14:textId="77777777" w:rsidR="00DA172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FFDF3C9" w14:textId="77777777" w:rsidR="00DA172B" w:rsidRDefault="00000000">
            <w:pPr>
              <w:spacing w:after="0" w:line="240" w:lineRule="auto"/>
            </w:pPr>
            <w:r>
              <w:t>52098</w:t>
            </w:r>
          </w:p>
        </w:tc>
      </w:tr>
      <w:tr w:rsidR="00DA172B" w14:paraId="7C6C0B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D6B95E" w14:textId="77777777" w:rsidR="00DA172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092023A" w14:textId="77777777" w:rsidR="00DA172B" w:rsidRDefault="00000000">
            <w:pPr>
              <w:spacing w:after="0" w:line="240" w:lineRule="auto"/>
            </w:pPr>
            <w:r>
              <w:t>DJEČJI VRTIĆ KADUJICA</w:t>
            </w:r>
          </w:p>
        </w:tc>
      </w:tr>
      <w:tr w:rsidR="00DA172B" w14:paraId="38DD7C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057340" w14:textId="77777777" w:rsidR="00DA172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4234A12" w14:textId="77777777" w:rsidR="00DA172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410D7B2" w14:textId="77777777" w:rsidR="00DA172B" w:rsidRDefault="00000000">
      <w:r>
        <w:br/>
      </w:r>
    </w:p>
    <w:p w14:paraId="352F7CB7" w14:textId="77777777" w:rsidR="00DA172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9D04308" w14:textId="77777777" w:rsidR="00DA172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A87FD8" w14:textId="77777777" w:rsidR="00DA172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C3D57B5" w14:textId="77777777" w:rsidR="00DA172B" w:rsidRDefault="00DA172B"/>
    <w:p w14:paraId="085ABD95" w14:textId="77777777" w:rsidR="00DA172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C27B64D" w14:textId="77777777" w:rsidR="00DA172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172B" w14:paraId="51DE95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97227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D1543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5960A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9CA48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22563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14345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172B" w14:paraId="6EFD8E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A8A44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6736A9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8B0B5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FFC40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617.747,18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CFDB1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811.656,56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D2BFE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  <w:tr w:rsidR="00DA172B" w14:paraId="462F9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FA6AD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9EA6D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33E8C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370E0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606.710,66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E306C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812.093,47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45A0D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DA172B" w14:paraId="5D553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8650F" w14:textId="77777777" w:rsidR="00DA172B" w:rsidRDefault="00DA17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9BD06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58172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3CC53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28B27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152E0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A172B" w14:paraId="3AB21A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657E5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6C62F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DB251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EC4F1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5FA3D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DC1D7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172B" w14:paraId="659D8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0AF89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B1546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C1DF6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61FD7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11.918,12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03ACB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C66B9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11,9</w:t>
            </w:r>
          </w:p>
        </w:tc>
      </w:tr>
      <w:tr w:rsidR="00DA172B" w14:paraId="7D37BC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89D8F" w14:textId="77777777" w:rsidR="00DA172B" w:rsidRDefault="00DA17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16A7D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F1AB2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FFDF9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11.918,12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F1518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9192E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11,9</w:t>
            </w:r>
          </w:p>
        </w:tc>
      </w:tr>
      <w:tr w:rsidR="00DA172B" w14:paraId="171856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780F3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AD499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AE81E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7AE5F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96CDE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27250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172B" w14:paraId="5CB945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94B1F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3B269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0514B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B7A58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1627B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BBA5D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172B" w14:paraId="021C63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2A0B1" w14:textId="77777777" w:rsidR="00DA172B" w:rsidRDefault="00DA17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B828A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BB29D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FF9A4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8E2CA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153E6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A172B" w14:paraId="34FAEE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BD0B6" w14:textId="77777777" w:rsidR="00DA172B" w:rsidRDefault="00DA17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280E6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7BEE7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39941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B3DD6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1.859,91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011E3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211,0</w:t>
            </w:r>
          </w:p>
        </w:tc>
      </w:tr>
    </w:tbl>
    <w:p w14:paraId="199AD2CD" w14:textId="77777777" w:rsidR="00DA172B" w:rsidRDefault="00DA172B">
      <w:pPr>
        <w:spacing w:after="0"/>
      </w:pPr>
    </w:p>
    <w:p w14:paraId="6395D198" w14:textId="77777777" w:rsidR="00DA172B" w:rsidRDefault="00000000">
      <w:r>
        <w:t>U razdoblju od 01.siječnja do 31. prosinca, 2025. godine prihodi poslovanja ostvareni su u iznosu od 811.656,56 EUR. Povećanje prihoda od 31.4 % u odnosu na 2024. godinu je ostvareno isključivo od Općih prihoda i primitaka Osnivača, Općine Okrug.</w:t>
      </w:r>
    </w:p>
    <w:p w14:paraId="0596AD3B" w14:textId="77777777" w:rsidR="00DA172B" w:rsidRDefault="00000000">
      <w:r>
        <w:t xml:space="preserve">Rashodi poslovanja u razdoblju od 01.siječnja do 31. prosinca 2025. godine ostvareni su u iznosu od 813.516,47 EUR. Rashodi se sastoje od rashoda poslovanja 812.093,47 EUR i rashoda za nabavu </w:t>
      </w:r>
      <w:proofErr w:type="spellStart"/>
      <w:r>
        <w:t>nefinacijske</w:t>
      </w:r>
      <w:proofErr w:type="spellEnd"/>
      <w:r>
        <w:t xml:space="preserve"> imovine u iznosu od 1.423,00 EUR. Ukupno povećanje u </w:t>
      </w:r>
      <w:r>
        <w:lastRenderedPageBreak/>
        <w:t>odnosu na 2024.godinu iznosi 31,5%. Najznačajnije povećanje rashoda evidentirano je na rashodima za zaposlene uslijed povećanja plaća i broja zaposlenih.</w:t>
      </w:r>
    </w:p>
    <w:p w14:paraId="00807153" w14:textId="77777777" w:rsidR="00DA172B" w:rsidRDefault="00000000">
      <w:r>
        <w:t>Najznačajnije smanjenje rashoda bilježi se na rashodima za nabavu dugotrajne imovine jer je Vrtić relativno nova ustanova, optimalno opremljena te nije bilo potrebe za nabavom značajnije dugotrajne imovine.</w:t>
      </w:r>
    </w:p>
    <w:p w14:paraId="5A883C2A" w14:textId="77777777" w:rsidR="00DA172B" w:rsidRDefault="00000000">
      <w:r>
        <w:t>REZULTAT TEKUĆEG RAZDOBLJA</w:t>
      </w:r>
    </w:p>
    <w:p w14:paraId="37790E3F" w14:textId="77777777" w:rsidR="00DA172B" w:rsidRDefault="00000000">
      <w:r>
        <w:t>Ukupan rezultat tekućeg razdoblja, manjak prihoda od 1.859,91 EUR se sastoji od manjka prihoda od nefinancijske imovine u iznosu od 1.423,00 EUR i manjka prihoda poslovanja u iznosu od 436,91 EUR.</w:t>
      </w:r>
    </w:p>
    <w:p w14:paraId="3A2456E9" w14:textId="77777777" w:rsidR="00DA172B" w:rsidRDefault="00000000">
      <w:r>
        <w:t>Zajedno s prenesenim manjkom iz 2024. godine u iznosu od 881,60 EUR, manjak prihoda za pokriće u slijedećem razdoblju iznosi 2.741,51 EUR.</w:t>
      </w:r>
    </w:p>
    <w:p w14:paraId="1F270230" w14:textId="77777777" w:rsidR="00DA172B" w:rsidRDefault="00000000">
      <w:r>
        <w:t>U 2025. godini ostvaren je tekući manjak poslovanja (3 je veće od 6) od 436,91 EUR jer su rashodi tekuće godine financirani prenesenim viškom poslovanja.</w:t>
      </w:r>
    </w:p>
    <w:p w14:paraId="368BA13D" w14:textId="77777777" w:rsidR="00DA172B" w:rsidRDefault="00000000">
      <w:r>
        <w:t> </w:t>
      </w:r>
    </w:p>
    <w:p w14:paraId="25B564AC" w14:textId="77777777" w:rsidR="00DA172B" w:rsidRDefault="00000000">
      <w:r>
        <w:t> </w:t>
      </w:r>
    </w:p>
    <w:p w14:paraId="3AE3E736" w14:textId="77777777" w:rsidR="00DA172B" w:rsidRDefault="00000000">
      <w:r>
        <w:br/>
      </w:r>
    </w:p>
    <w:p w14:paraId="5429DC75" w14:textId="77777777" w:rsidR="00DA172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4FB462C" w14:textId="77777777" w:rsidR="00DA172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172B" w14:paraId="5A9AF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005BD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8F1E2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45D37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8F953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19FD3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D1DBF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172B" w14:paraId="592D20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41237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B7490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39513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ACECB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C3A3B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-2.741,51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2C646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311,0</w:t>
            </w:r>
          </w:p>
        </w:tc>
      </w:tr>
    </w:tbl>
    <w:p w14:paraId="33551876" w14:textId="77777777" w:rsidR="00DA172B" w:rsidRDefault="00DA172B">
      <w:pPr>
        <w:spacing w:after="0"/>
      </w:pPr>
    </w:p>
    <w:p w14:paraId="62984414" w14:textId="77777777" w:rsidR="00DA172B" w:rsidRDefault="00000000">
      <w:r>
        <w:t>Kao što je navedeno u bilješci PRRAS-a  manjak prihoda za 2025. u iznosu od 1.859,91 EUR zajedno s prenesenim manjkom iz 2024. godine u iznosu od 881,60 EUR iznosi 2.741,51 EUR.</w:t>
      </w:r>
    </w:p>
    <w:p w14:paraId="06788B9C" w14:textId="77777777" w:rsidR="00DA172B" w:rsidRDefault="00000000">
      <w:r>
        <w:t>Korekcija rezultata poslovanja  (čl. 215 Pravilnika) je provedena na način da iznos od 1.423,00 EUR zadužuje račun manjka prihoda poslovanja, a odobrava račun manjka prihoda od nefinancijske imovine.</w:t>
      </w:r>
    </w:p>
    <w:p w14:paraId="59909911" w14:textId="77777777" w:rsidR="00DA172B" w:rsidRDefault="00000000">
      <w:r>
        <w:t>Dječji vrtić "KADUJICA" nema dugoročnih zaduživanja niti ima jamstava. Vrtić također nema ugovornih odnosa, sudskih sporova niti ostalog što može postati obveza ili imovina</w:t>
      </w:r>
    </w:p>
    <w:p w14:paraId="1B4D0043" w14:textId="77777777" w:rsidR="00DA172B" w:rsidRDefault="00DA172B"/>
    <w:p w14:paraId="740FD112" w14:textId="77777777" w:rsidR="00DA172B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1DD48B5D" w14:textId="77777777" w:rsidR="00DA172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172B" w14:paraId="01A7EE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330F2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99CA9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BFD34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6678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0D45F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024FE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172B" w14:paraId="76E9E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26C04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D68C27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B8A13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CCB31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618.628,78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BCF30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813.516,47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81EFE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057B2C4F" w14:textId="77777777" w:rsidR="00DA172B" w:rsidRDefault="00DA172B">
      <w:pPr>
        <w:spacing w:after="0"/>
      </w:pPr>
    </w:p>
    <w:p w14:paraId="615F8E44" w14:textId="77777777" w:rsidR="00DA172B" w:rsidRDefault="00000000">
      <w:r>
        <w:t>Dječji vrtić "KADUJICA", prema svojoj funkcijskoj klasifikaciji pripada predškolskom odgoju i obrazovanju (09). Ukupni rashodi odstupaju za 31,5% u odnosu na izvještajno razdoblje prethodne godine.</w:t>
      </w:r>
    </w:p>
    <w:p w14:paraId="29E1B00E" w14:textId="77777777" w:rsidR="00DA172B" w:rsidRDefault="00DA172B"/>
    <w:p w14:paraId="522BCB66" w14:textId="77777777" w:rsidR="00DA172B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526D860" w14:textId="77777777" w:rsidR="00DA172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172B" w14:paraId="2796B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7D049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E72A2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0A344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4F8E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CCAFD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3FB92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172B" w14:paraId="7AB321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A102E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EB9632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DBBB5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6C36D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4210A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43A72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2C13C5" w14:textId="77777777" w:rsidR="00DA172B" w:rsidRDefault="00DA172B">
      <w:pPr>
        <w:spacing w:after="0"/>
      </w:pPr>
    </w:p>
    <w:p w14:paraId="46FF4834" w14:textId="77777777" w:rsidR="00DA172B" w:rsidRDefault="00000000">
      <w:r>
        <w:t>U 2025. godini nije bilo promjena u vrijednosti i obujmu imovine. Razvrstavanje dugotrajne nefinancijske imovine te način ispravka vrijednosti je reguliran Odlukom ravnateljice.</w:t>
      </w:r>
    </w:p>
    <w:p w14:paraId="4A81D259" w14:textId="77777777" w:rsidR="00DA172B" w:rsidRDefault="00000000">
      <w:r>
        <w:t>Ukupan otpis u 2025. godini iznosi 6.330,88. Ukupan otpis imovine nabavljene u 2025. godini iznosi 355,75 EUR.</w:t>
      </w:r>
    </w:p>
    <w:p w14:paraId="716F89E7" w14:textId="77777777" w:rsidR="00DA172B" w:rsidRDefault="00DA172B"/>
    <w:p w14:paraId="5F0A607F" w14:textId="77777777" w:rsidR="00DA172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24D276" w14:textId="77777777" w:rsidR="00DA172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A172B" w14:paraId="212EB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AC90B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F6C1D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34217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B56FB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4B7DF" w14:textId="77777777" w:rsidR="00DA172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172B" w14:paraId="57A38B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9D46F" w14:textId="77777777" w:rsidR="00DA172B" w:rsidRDefault="00DA17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175C6C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17A9E" w14:textId="77777777" w:rsidR="00DA172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9E201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01BB4" w14:textId="77777777" w:rsidR="00DA172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3DC984" w14:textId="77777777" w:rsidR="00DA172B" w:rsidRDefault="00DA172B">
      <w:pPr>
        <w:spacing w:after="0"/>
      </w:pPr>
    </w:p>
    <w:p w14:paraId="3568A2AC" w14:textId="77777777" w:rsidR="00DA172B" w:rsidRDefault="00000000">
      <w:r>
        <w:t>Vrtić na kraju izvještajnog razdoblja nema dospjelih obveza.</w:t>
      </w:r>
    </w:p>
    <w:p w14:paraId="0A357289" w14:textId="77777777" w:rsidR="00DA172B" w:rsidRDefault="00000000">
      <w:r>
        <w:t>Sve su obveze kratkoročne, nedospjele do 31.12.2025. Dospijeće je u siječnju 2026. godine. Obveze su isključivo prema dobavljačima za isporuku robe i usluga.</w:t>
      </w:r>
    </w:p>
    <w:p w14:paraId="3F77A146" w14:textId="77777777" w:rsidR="00DA172B" w:rsidRDefault="00000000">
      <w:r>
        <w:t> </w:t>
      </w:r>
    </w:p>
    <w:p w14:paraId="6B72DA69" w14:textId="77777777" w:rsidR="00DA172B" w:rsidRDefault="00DA172B"/>
    <w:sectPr w:rsidR="00DA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2B"/>
    <w:rsid w:val="007144C3"/>
    <w:rsid w:val="00DA172B"/>
    <w:rsid w:val="00E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5A49"/>
  <w15:docId w15:val="{A043B2B1-BD3B-48E4-B16E-BD70BF32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Vrtic01</dc:creator>
  <cp:lastModifiedBy>Josipa Kuzmanić</cp:lastModifiedBy>
  <cp:revision>2</cp:revision>
  <dcterms:created xsi:type="dcterms:W3CDTF">2026-01-28T12:32:00Z</dcterms:created>
  <dcterms:modified xsi:type="dcterms:W3CDTF">2026-01-28T12:32:00Z</dcterms:modified>
</cp:coreProperties>
</file>